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95B" w:rsidRDefault="00F0595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F0595B" w:rsidRPr="004D24C5" w:rsidRDefault="00187F58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Paul</w:t>
                            </w:r>
                            <w:r w:rsidR="003877CA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’s Defence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F0595B" w:rsidRDefault="00F0595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F0595B" w:rsidRPr="004D24C5" w:rsidRDefault="00187F58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Paul</w:t>
                      </w:r>
                      <w:r w:rsidR="003877CA">
                        <w:rPr>
                          <w:rFonts w:ascii="Britannic Bold" w:hAnsi="Britannic Bold"/>
                          <w:sz w:val="30"/>
                          <w:szCs w:val="30"/>
                        </w:rPr>
                        <w:t>’s Defence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95B" w:rsidRPr="005D580F" w:rsidRDefault="00F0595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87F58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Oct18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F0595B" w:rsidRPr="005D580F" w:rsidRDefault="00F0595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187F58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Oct18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EC460B" w:rsidRPr="00837B62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837B62">
        <w:rPr>
          <w:rFonts w:ascii="Bell MT" w:hAnsi="Bell MT"/>
          <w:b/>
          <w:sz w:val="26"/>
          <w:szCs w:val="26"/>
        </w:rPr>
        <w:t xml:space="preserve">: </w:t>
      </w:r>
      <w:r w:rsidR="00832EEF" w:rsidRPr="00837B62">
        <w:rPr>
          <w:rFonts w:ascii="Bell MT" w:hAnsi="Bell MT"/>
          <w:sz w:val="26"/>
          <w:szCs w:val="26"/>
        </w:rPr>
        <w:t xml:space="preserve"> </w:t>
      </w:r>
      <w:r w:rsidR="00837B62" w:rsidRPr="00837B62">
        <w:rPr>
          <w:rFonts w:ascii="Bell MT" w:hAnsi="Bell MT"/>
          <w:sz w:val="26"/>
          <w:szCs w:val="26"/>
        </w:rPr>
        <w:t>We’ve entered one of two of the last major sections of Acts: Paul’s Witness in Jerusalem and Paul’s Witness in Rome. In this section Paul gives witness under trial.</w:t>
      </w:r>
    </w:p>
    <w:p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32292B" w:rsidRPr="00837B62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POINT:</w:t>
      </w:r>
      <w:r w:rsidR="00A45657" w:rsidRPr="00837B62">
        <w:rPr>
          <w:rFonts w:ascii="Bell MT" w:hAnsi="Bell MT"/>
          <w:sz w:val="26"/>
          <w:szCs w:val="26"/>
        </w:rPr>
        <w:t xml:space="preserve"> </w:t>
      </w:r>
      <w:r w:rsidR="00CA329A" w:rsidRPr="00837B62">
        <w:rPr>
          <w:rFonts w:ascii="Bell MT" w:hAnsi="Bell MT"/>
          <w:sz w:val="26"/>
          <w:szCs w:val="26"/>
        </w:rPr>
        <w:t>apologetics, testimony</w:t>
      </w:r>
      <w:r w:rsidR="00837B62" w:rsidRPr="00837B62">
        <w:rPr>
          <w:rFonts w:ascii="Bell MT" w:hAnsi="Bell MT"/>
          <w:sz w:val="26"/>
          <w:szCs w:val="26"/>
        </w:rPr>
        <w:t xml:space="preserve">, </w:t>
      </w:r>
      <w:r w:rsidR="00884AC3">
        <w:rPr>
          <w:rFonts w:ascii="Bell MT" w:hAnsi="Bell MT"/>
          <w:sz w:val="26"/>
          <w:szCs w:val="26"/>
        </w:rPr>
        <w:t>witness, response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DC3004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DC3004">
        <w:rPr>
          <w:rFonts w:ascii="Bell MT" w:hAnsi="Bell MT" w:cs="Times New Roman"/>
          <w:b/>
          <w:sz w:val="26"/>
          <w:szCs w:val="26"/>
        </w:rPr>
        <w:t>RECAP</w:t>
      </w:r>
      <w:r w:rsidR="00225A48" w:rsidRPr="00DC3004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DC3004">
        <w:rPr>
          <w:rFonts w:ascii="Bell MT" w:hAnsi="Bell MT" w:cs="Times New Roman"/>
          <w:sz w:val="26"/>
          <w:szCs w:val="26"/>
        </w:rPr>
        <w:t>(</w:t>
      </w:r>
      <w:r w:rsidR="003877CA">
        <w:rPr>
          <w:rFonts w:ascii="Bell MT" w:hAnsi="Bell MT" w:cs="Times New Roman"/>
          <w:sz w:val="26"/>
          <w:szCs w:val="26"/>
        </w:rPr>
        <w:t>Paul Accepted, Acts 21:17–26</w:t>
      </w:r>
      <w:r w:rsidR="00601CF9" w:rsidRPr="00DC3004">
        <w:rPr>
          <w:rFonts w:ascii="Bell MT" w:hAnsi="Bell MT" w:cs="Times New Roman"/>
          <w:sz w:val="26"/>
          <w:szCs w:val="26"/>
        </w:rPr>
        <w:t>)</w:t>
      </w:r>
    </w:p>
    <w:p w:rsidR="00514D51" w:rsidRPr="00514D51" w:rsidRDefault="00514D51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purpose does this section of Acts have?</w:t>
      </w:r>
    </w:p>
    <w:p w:rsidR="00514D51" w:rsidRPr="00514D51" w:rsidRDefault="00514D51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is Paul’s witness in Jerusalem met with acceptance?</w:t>
      </w:r>
    </w:p>
    <w:p w:rsidR="00514D51" w:rsidRPr="00514D51" w:rsidRDefault="00514D51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 we learn of God’s work abroad and in Jerusalem?</w:t>
      </w:r>
    </w:p>
    <w:p w:rsidR="00514D51" w:rsidRPr="00514D51" w:rsidRDefault="00514D51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did Paul demonstrate a conciliatory principle?</w:t>
      </w:r>
    </w:p>
    <w:p w:rsidR="00514D51" w:rsidRPr="00514D51" w:rsidRDefault="00514D51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Other?</w:t>
      </w:r>
    </w:p>
    <w:p w:rsidR="00514D51" w:rsidRPr="00187F58" w:rsidRDefault="00514D51" w:rsidP="00514D5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Pr="00CA329A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A329A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CA329A">
        <w:rPr>
          <w:rFonts w:ascii="Bell MT" w:hAnsi="Bell MT" w:cs="Times New Roman"/>
          <w:b/>
          <w:sz w:val="26"/>
          <w:szCs w:val="26"/>
        </w:rPr>
        <w:t>SERMON</w:t>
      </w:r>
      <w:r w:rsidRPr="00CA329A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CA329A">
        <w:rPr>
          <w:rFonts w:ascii="Bell MT" w:hAnsi="Bell MT" w:cs="Times New Roman"/>
          <w:sz w:val="26"/>
          <w:szCs w:val="26"/>
        </w:rPr>
        <w:t>(</w:t>
      </w:r>
      <w:r w:rsidR="00DC3004" w:rsidRPr="00CA329A">
        <w:rPr>
          <w:rFonts w:ascii="Bell MT" w:hAnsi="Bell MT" w:cs="Times New Roman"/>
          <w:sz w:val="26"/>
          <w:szCs w:val="26"/>
        </w:rPr>
        <w:t>Acts 2</w:t>
      </w:r>
      <w:r w:rsidR="00CA329A">
        <w:rPr>
          <w:rFonts w:ascii="Bell MT" w:hAnsi="Bell MT" w:cs="Times New Roman"/>
          <w:sz w:val="26"/>
          <w:szCs w:val="26"/>
        </w:rPr>
        <w:t>1:27–39</w:t>
      </w:r>
      <w:r w:rsidR="00CA329A" w:rsidRPr="00CA329A">
        <w:rPr>
          <w:rFonts w:ascii="Bell MT" w:hAnsi="Bell MT" w:cs="Times New Roman"/>
          <w:sz w:val="26"/>
          <w:szCs w:val="26"/>
        </w:rPr>
        <w:t>, Paul Accused</w:t>
      </w:r>
      <w:r w:rsidR="00EC460B" w:rsidRPr="00CA329A">
        <w:rPr>
          <w:rFonts w:ascii="Bell MT" w:hAnsi="Bell MT" w:cs="Times New Roman"/>
          <w:sz w:val="26"/>
          <w:szCs w:val="26"/>
        </w:rPr>
        <w:t>)</w:t>
      </w:r>
      <w:r w:rsidR="00347C18" w:rsidRPr="00CA329A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514D51" w:rsidRPr="00514D51" w:rsidRDefault="00514D51" w:rsidP="00A96BD0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14D51">
        <w:rPr>
          <w:rFonts w:ascii="Bell MT" w:hAnsi="Bell MT" w:cs="Times New Roman"/>
          <w:sz w:val="26"/>
          <w:szCs w:val="26"/>
        </w:rPr>
        <w:t>What is the danger of rumours, supposing and bias?</w:t>
      </w:r>
    </w:p>
    <w:p w:rsidR="00514D51" w:rsidRPr="00514D51" w:rsidRDefault="00514D51" w:rsidP="00A96BD0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14D51">
        <w:rPr>
          <w:rFonts w:ascii="Bell MT" w:hAnsi="Bell MT" w:cs="Times New Roman"/>
          <w:sz w:val="26"/>
          <w:szCs w:val="26"/>
        </w:rPr>
        <w:t>How did the unbelieving Jews act differently to the believing Jews and how did they break their own law?</w:t>
      </w:r>
    </w:p>
    <w:p w:rsidR="00514D51" w:rsidRDefault="00514D51" w:rsidP="00A96BD0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14D51">
        <w:rPr>
          <w:rFonts w:ascii="Bell MT" w:hAnsi="Bell MT" w:cs="Times New Roman"/>
          <w:sz w:val="26"/>
          <w:szCs w:val="26"/>
        </w:rPr>
        <w:t>What do evidence in the passage do we see the unbelieving Jews were rejecting the witness of their Messiah?</w:t>
      </w:r>
    </w:p>
    <w:p w:rsidR="00514D51" w:rsidRPr="00514D51" w:rsidRDefault="00514D51" w:rsidP="00A96BD0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Other?</w:t>
      </w:r>
    </w:p>
    <w:p w:rsidR="0038424D" w:rsidRPr="0038424D" w:rsidRDefault="0038424D" w:rsidP="0038424D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38424D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B34D7C"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 w:rsidRPr="00CA329A">
        <w:rPr>
          <w:rFonts w:ascii="Times New Roman" w:hAnsi="Times New Roman" w:cs="Times New Roman"/>
          <w:sz w:val="26"/>
          <w:szCs w:val="26"/>
        </w:rPr>
        <w:t xml:space="preserve">Acts </w:t>
      </w:r>
      <w:r w:rsidR="00EE6E11" w:rsidRPr="00CA329A">
        <w:rPr>
          <w:rFonts w:ascii="Times New Roman" w:hAnsi="Times New Roman" w:cs="Times New Roman"/>
          <w:sz w:val="26"/>
          <w:szCs w:val="26"/>
        </w:rPr>
        <w:t>21:</w:t>
      </w:r>
      <w:r w:rsidR="00C92A01">
        <w:rPr>
          <w:rFonts w:ascii="Times New Roman" w:hAnsi="Times New Roman" w:cs="Times New Roman"/>
          <w:sz w:val="26"/>
          <w:szCs w:val="26"/>
        </w:rPr>
        <w:t>40–22:22</w:t>
      </w:r>
    </w:p>
    <w:p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884AC3" w:rsidRDefault="00CA329A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A329A">
        <w:rPr>
          <w:rFonts w:ascii="Bell MT" w:hAnsi="Bell MT" w:cs="Times New Roman"/>
          <w:i/>
          <w:sz w:val="26"/>
          <w:szCs w:val="26"/>
        </w:rPr>
        <w:t>In v. 1 Paul says “hear my defence.” Defence in Greek is “apologia,” where we get apologetics from. This doesn’t mean apologizing for our faith but defending the faith. Apologetics is a key way to witness as the end of Acts makes clear.</w:t>
      </w:r>
      <w:r>
        <w:rPr>
          <w:rFonts w:ascii="Bell MT" w:hAnsi="Bell MT" w:cs="Times New Roman"/>
          <w:sz w:val="26"/>
          <w:szCs w:val="26"/>
        </w:rPr>
        <w:t xml:space="preserve"> </w:t>
      </w:r>
    </w:p>
    <w:p w:rsidR="00CA329A" w:rsidRDefault="00CA329A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96BD0">
        <w:rPr>
          <w:rFonts w:ascii="Bell MT" w:hAnsi="Bell MT" w:cs="Times New Roman"/>
          <w:b/>
          <w:sz w:val="26"/>
          <w:szCs w:val="26"/>
        </w:rPr>
        <w:t>1 Pet 3:15- What does this verse teach us about apologetics</w:t>
      </w:r>
      <w:r w:rsidR="00A96BD0">
        <w:rPr>
          <w:rFonts w:ascii="Bell MT" w:hAnsi="Bell MT" w:cs="Times New Roman"/>
          <w:b/>
          <w:sz w:val="26"/>
          <w:szCs w:val="26"/>
        </w:rPr>
        <w:t>, whether sharing our faith or a point of our faith</w:t>
      </w:r>
      <w:r w:rsidRPr="00A96BD0">
        <w:rPr>
          <w:rFonts w:ascii="Bell MT" w:hAnsi="Bell MT" w:cs="Times New Roman"/>
          <w:b/>
          <w:sz w:val="26"/>
          <w:szCs w:val="26"/>
        </w:rPr>
        <w:t>?</w:t>
      </w:r>
      <w:r>
        <w:rPr>
          <w:rFonts w:ascii="Bell MT" w:hAnsi="Bell MT" w:cs="Times New Roman"/>
          <w:sz w:val="26"/>
          <w:szCs w:val="26"/>
        </w:rPr>
        <w:t xml:space="preserve"> </w:t>
      </w:r>
    </w:p>
    <w:p w:rsidR="00A96BD0" w:rsidRDefault="00884AC3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B55FF" wp14:editId="4E2F08B4">
                <wp:simplePos x="0" y="0"/>
                <wp:positionH relativeFrom="column">
                  <wp:posOffset>5416550</wp:posOffset>
                </wp:positionH>
                <wp:positionV relativeFrom="paragraph">
                  <wp:posOffset>171450</wp:posOffset>
                </wp:positionV>
                <wp:extent cx="3989705" cy="768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8970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27" w:rsidRPr="00E007FA" w:rsidRDefault="00893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07FA">
                              <w:rPr>
                                <w:sz w:val="18"/>
                                <w:szCs w:val="18"/>
                              </w:rPr>
                              <w:t xml:space="preserve">It would appear the unbelieving Jews were fine with proselytizing (Gentiles becoming Jews) but not with evangelism (making Gentiles Christians without first becoming Jews). Jew and Gentile </w:t>
                            </w:r>
                            <w:proofErr w:type="gramStart"/>
                            <w:r w:rsidRPr="00E007FA">
                              <w:rPr>
                                <w:sz w:val="18"/>
                                <w:szCs w:val="18"/>
                              </w:rPr>
                              <w:t>was</w:t>
                            </w:r>
                            <w:proofErr w:type="gramEnd"/>
                            <w:r w:rsidRPr="00E007FA">
                              <w:rPr>
                                <w:sz w:val="18"/>
                                <w:szCs w:val="18"/>
                              </w:rPr>
                              <w:t xml:space="preserve"> equal in their need of Christ and on identical terms</w:t>
                            </w:r>
                            <w:r w:rsidR="00E007FA" w:rsidRPr="00E007F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6.5pt;margin-top:13.5pt;width:314.15pt;height:60.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" fillcolor="white [3201]" stroked="f" strokeweight=".5pt">
                <v:textbox>
                  <w:txbxContent>
                    <w:p w:rsidR="00893E27" w:rsidRPr="00E007FA" w:rsidRDefault="00893E27">
                      <w:pPr>
                        <w:rPr>
                          <w:sz w:val="18"/>
                          <w:szCs w:val="18"/>
                        </w:rPr>
                      </w:pPr>
                      <w:r w:rsidRPr="00E007FA">
                        <w:rPr>
                          <w:sz w:val="18"/>
                          <w:szCs w:val="18"/>
                        </w:rPr>
                        <w:t xml:space="preserve">It would appear the unbelieving Jews were fine with proselytizing (Gentiles becoming Jews) but not with evangelism (making Gentiles Christians without first becoming Jews). Jew and Gentile </w:t>
                      </w:r>
                      <w:proofErr w:type="gramStart"/>
                      <w:r w:rsidRPr="00E007FA">
                        <w:rPr>
                          <w:sz w:val="18"/>
                          <w:szCs w:val="18"/>
                        </w:rPr>
                        <w:t>was</w:t>
                      </w:r>
                      <w:proofErr w:type="gramEnd"/>
                      <w:r w:rsidRPr="00E007FA">
                        <w:rPr>
                          <w:sz w:val="18"/>
                          <w:szCs w:val="18"/>
                        </w:rPr>
                        <w:t xml:space="preserve"> equal in their need of Christ and on identical terms</w:t>
                      </w:r>
                      <w:r w:rsidR="00E007FA" w:rsidRPr="00E007F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6BD0">
        <w:rPr>
          <w:rFonts w:ascii="Bell MT" w:hAnsi="Bell MT" w:cs="Times New Roman"/>
          <w:sz w:val="26"/>
          <w:szCs w:val="26"/>
        </w:rPr>
        <w:t>V. 1- Why do you think there was a “hush” when Paul stepped up to speak to them from the barracks?</w:t>
      </w:r>
    </w:p>
    <w:p w:rsidR="00A96BD0" w:rsidRDefault="00A96BD0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96BD0">
        <w:rPr>
          <w:rFonts w:ascii="Bell MT" w:hAnsi="Bell MT" w:cs="Times New Roman"/>
          <w:b/>
          <w:sz w:val="26"/>
          <w:szCs w:val="26"/>
        </w:rPr>
        <w:t>Vv. 1–2- In what language and in what tone did he speak to them? How is this helpful to remember for today?</w:t>
      </w:r>
    </w:p>
    <w:p w:rsidR="00A96BD0" w:rsidRPr="00A96BD0" w:rsidRDefault="00A96BD0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96BD0">
        <w:rPr>
          <w:rFonts w:ascii="Bell MT" w:hAnsi="Bell MT" w:cs="Times New Roman"/>
          <w:i/>
          <w:sz w:val="26"/>
          <w:szCs w:val="26"/>
        </w:rPr>
        <w:lastRenderedPageBreak/>
        <w:t>This is the second time Paul ha</w:t>
      </w:r>
      <w:r w:rsidR="00884AC3">
        <w:rPr>
          <w:rFonts w:ascii="Bell MT" w:hAnsi="Bell MT" w:cs="Times New Roman"/>
          <w:i/>
          <w:sz w:val="26"/>
          <w:szCs w:val="26"/>
        </w:rPr>
        <w:t>s shared his testimony in A</w:t>
      </w:r>
      <w:r w:rsidRPr="00A96BD0">
        <w:rPr>
          <w:rFonts w:ascii="Bell MT" w:hAnsi="Bell MT" w:cs="Times New Roman"/>
          <w:i/>
          <w:sz w:val="26"/>
          <w:szCs w:val="26"/>
        </w:rPr>
        <w:t>cts. He testifies (bears witness) to his experience of grace through faith.</w:t>
      </w:r>
    </w:p>
    <w:p w:rsidR="00A96BD0" w:rsidRDefault="00A96BD0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benefits does sharing our testimony have? Can someone share their testimony briefly?</w:t>
      </w:r>
    </w:p>
    <w:p w:rsidR="00A96BD0" w:rsidRDefault="00A96BD0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37B62">
        <w:rPr>
          <w:rFonts w:ascii="Bell MT" w:hAnsi="Bell MT" w:cs="Times New Roman"/>
          <w:i/>
          <w:sz w:val="26"/>
          <w:szCs w:val="26"/>
        </w:rPr>
        <w:t>Paul’s testimony here differs slightly (in emphasis) from that of Acts 9.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  <w:r w:rsidR="00837B62">
        <w:rPr>
          <w:rFonts w:ascii="Bell MT" w:hAnsi="Bell MT" w:cs="Times New Roman"/>
          <w:b/>
          <w:sz w:val="26"/>
          <w:szCs w:val="26"/>
        </w:rPr>
        <w:t>How does he he</w:t>
      </w:r>
      <w:r w:rsidR="00884AC3">
        <w:rPr>
          <w:rFonts w:ascii="Bell MT" w:hAnsi="Bell MT" w:cs="Times New Roman"/>
          <w:b/>
          <w:sz w:val="26"/>
          <w:szCs w:val="26"/>
        </w:rPr>
        <w:t>re</w:t>
      </w:r>
      <w:bookmarkStart w:id="0" w:name="_GoBack"/>
      <w:bookmarkEnd w:id="0"/>
      <w:r w:rsidR="00837B62">
        <w:rPr>
          <w:rFonts w:ascii="Bell MT" w:hAnsi="Bell MT" w:cs="Times New Roman"/>
          <w:b/>
          <w:sz w:val="26"/>
          <w:szCs w:val="26"/>
        </w:rPr>
        <w:t xml:space="preserve"> stress how his faith in Christ is faithful to his Jewish roots?</w:t>
      </w:r>
      <w:r w:rsidR="00893E27">
        <w:rPr>
          <w:rFonts w:ascii="Bell MT" w:hAnsi="Bell MT" w:cs="Times New Roman"/>
          <w:b/>
          <w:sz w:val="26"/>
          <w:szCs w:val="26"/>
        </w:rPr>
        <w:t xml:space="preserve"> </w:t>
      </w:r>
      <w:r w:rsidR="00893E27" w:rsidRPr="00E007FA">
        <w:rPr>
          <w:rFonts w:ascii="Bell MT" w:hAnsi="Bell MT" w:cs="Times New Roman"/>
          <w:sz w:val="26"/>
          <w:szCs w:val="26"/>
        </w:rPr>
        <w:t xml:space="preserve">(He was the </w:t>
      </w:r>
      <w:hyperlink r:id="rId10" w:history="1">
        <w:r w:rsidR="00893E27" w:rsidRPr="00E007FA">
          <w:rPr>
            <w:rStyle w:val="Hyperlink"/>
            <w:rFonts w:ascii="Bell MT" w:hAnsi="Bell MT" w:cs="Times New Roman"/>
            <w:sz w:val="26"/>
            <w:szCs w:val="26"/>
          </w:rPr>
          <w:t>true Jew</w:t>
        </w:r>
      </w:hyperlink>
      <w:r w:rsidR="00E007FA" w:rsidRPr="00E007FA">
        <w:rPr>
          <w:rFonts w:ascii="Bell MT" w:hAnsi="Bell MT" w:cs="Times New Roman"/>
          <w:sz w:val="26"/>
          <w:szCs w:val="26"/>
        </w:rPr>
        <w:t>, like Jesus, like Stephen</w:t>
      </w:r>
      <w:r w:rsidR="00893E27" w:rsidRPr="00E007FA">
        <w:rPr>
          <w:rFonts w:ascii="Bell MT" w:hAnsi="Bell MT" w:cs="Times New Roman"/>
          <w:sz w:val="26"/>
          <w:szCs w:val="26"/>
        </w:rPr>
        <w:t>)</w:t>
      </w:r>
      <w:r w:rsidR="00893E27">
        <w:rPr>
          <w:rFonts w:ascii="Bell MT" w:hAnsi="Bell MT" w:cs="Times New Roman"/>
          <w:b/>
          <w:sz w:val="26"/>
          <w:szCs w:val="26"/>
        </w:rPr>
        <w:t>.</w:t>
      </w:r>
      <w:r w:rsidR="00837B62">
        <w:rPr>
          <w:rFonts w:ascii="Bell MT" w:hAnsi="Bell MT" w:cs="Times New Roman"/>
          <w:b/>
          <w:sz w:val="26"/>
          <w:szCs w:val="26"/>
        </w:rPr>
        <w:t>Why?</w:t>
      </w:r>
    </w:p>
    <w:p w:rsidR="00C92A01" w:rsidRPr="00C92A01" w:rsidRDefault="00C92A01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92A01">
        <w:rPr>
          <w:rFonts w:ascii="Bell MT" w:hAnsi="Bell MT" w:cs="Times New Roman"/>
          <w:b/>
          <w:sz w:val="26"/>
          <w:szCs w:val="26"/>
        </w:rPr>
        <w:t>How might we alter the points of emphasis in our testimony depending upon who we are speaking to?</w:t>
      </w:r>
    </w:p>
    <w:p w:rsidR="00837B62" w:rsidRDefault="00837B62" w:rsidP="00A96BD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He makes a series of points to relay this</w:t>
      </w:r>
      <w:r w:rsidR="00C92A01">
        <w:rPr>
          <w:rFonts w:ascii="Bell MT" w:hAnsi="Bell MT" w:cs="Times New Roman"/>
          <w:i/>
          <w:sz w:val="26"/>
          <w:szCs w:val="26"/>
        </w:rPr>
        <w:t xml:space="preserve">. </w:t>
      </w:r>
      <w:r w:rsidR="00C92A01" w:rsidRPr="00E007FA">
        <w:rPr>
          <w:rFonts w:ascii="Bell MT" w:hAnsi="Bell MT" w:cs="Times New Roman"/>
          <w:b/>
          <w:sz w:val="26"/>
          <w:szCs w:val="26"/>
        </w:rPr>
        <w:t>In the corresponding verses, how does he convey each point</w:t>
      </w:r>
      <w:proofErr w:type="gramStart"/>
      <w:r w:rsidR="00C92A01" w:rsidRPr="00E007FA">
        <w:rPr>
          <w:rFonts w:ascii="Bell MT" w:hAnsi="Bell MT" w:cs="Times New Roman"/>
          <w:b/>
          <w:sz w:val="26"/>
          <w:szCs w:val="26"/>
        </w:rPr>
        <w:t>?</w:t>
      </w:r>
      <w:r w:rsidRPr="00E007FA">
        <w:rPr>
          <w:rFonts w:ascii="Bell MT" w:hAnsi="Bell MT" w:cs="Times New Roman"/>
          <w:b/>
          <w:sz w:val="26"/>
          <w:szCs w:val="26"/>
        </w:rPr>
        <w:t>:</w:t>
      </w:r>
      <w:proofErr w:type="gramEnd"/>
    </w:p>
    <w:p w:rsidR="00837B62" w:rsidRPr="00E007FA" w:rsidRDefault="00C92A01" w:rsidP="00837B62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007FA">
        <w:rPr>
          <w:rFonts w:ascii="Bell MT" w:hAnsi="Bell MT" w:cs="Times New Roman"/>
          <w:sz w:val="26"/>
          <w:szCs w:val="26"/>
        </w:rPr>
        <w:t>His Jewish upbringing</w:t>
      </w:r>
      <w:r w:rsidR="00E007FA" w:rsidRPr="00E007FA">
        <w:rPr>
          <w:rFonts w:ascii="Bell MT" w:hAnsi="Bell MT" w:cs="Times New Roman"/>
          <w:sz w:val="26"/>
          <w:szCs w:val="26"/>
        </w:rPr>
        <w:t xml:space="preserve"> (3a)</w:t>
      </w:r>
    </w:p>
    <w:p w:rsidR="00C92A01" w:rsidRPr="00E007FA" w:rsidRDefault="00C92A01" w:rsidP="00C92A01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C92A01" w:rsidRPr="00E007FA" w:rsidRDefault="00C92A01" w:rsidP="00837B62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007FA">
        <w:rPr>
          <w:rFonts w:ascii="Bell MT" w:hAnsi="Bell MT" w:cs="Times New Roman"/>
          <w:sz w:val="26"/>
          <w:szCs w:val="26"/>
        </w:rPr>
        <w:t>His zeal for God</w:t>
      </w:r>
      <w:r w:rsidR="00E007FA" w:rsidRPr="00E007FA">
        <w:rPr>
          <w:rFonts w:ascii="Bell MT" w:hAnsi="Bell MT" w:cs="Times New Roman"/>
          <w:sz w:val="26"/>
          <w:szCs w:val="26"/>
        </w:rPr>
        <w:t xml:space="preserve"> (3b–5)</w:t>
      </w:r>
    </w:p>
    <w:p w:rsidR="00C92A01" w:rsidRPr="00E007FA" w:rsidRDefault="00C92A01" w:rsidP="00C92A01">
      <w:pPr>
        <w:pStyle w:val="ListParagraph"/>
        <w:rPr>
          <w:rFonts w:ascii="Bell MT" w:hAnsi="Bell MT" w:cs="Times New Roman"/>
          <w:sz w:val="26"/>
          <w:szCs w:val="26"/>
        </w:rPr>
      </w:pPr>
    </w:p>
    <w:p w:rsidR="00C92A01" w:rsidRPr="00E007FA" w:rsidRDefault="00C92A01" w:rsidP="00837B62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007FA">
        <w:rPr>
          <w:rFonts w:ascii="Bell MT" w:hAnsi="Bell MT" w:cs="Times New Roman"/>
          <w:sz w:val="26"/>
          <w:szCs w:val="26"/>
        </w:rPr>
        <w:t>Converted through Divine intervention</w:t>
      </w:r>
      <w:r w:rsidR="00E007FA" w:rsidRPr="00E007FA">
        <w:rPr>
          <w:rFonts w:ascii="Bell MT" w:hAnsi="Bell MT" w:cs="Times New Roman"/>
          <w:sz w:val="26"/>
          <w:szCs w:val="26"/>
        </w:rPr>
        <w:t xml:space="preserve"> (6–11)</w:t>
      </w:r>
    </w:p>
    <w:p w:rsidR="00C92A01" w:rsidRPr="00E007FA" w:rsidRDefault="00C92A01" w:rsidP="00C92A01">
      <w:pPr>
        <w:pStyle w:val="ListParagraph"/>
        <w:rPr>
          <w:rFonts w:ascii="Bell MT" w:hAnsi="Bell MT" w:cs="Times New Roman"/>
          <w:sz w:val="26"/>
          <w:szCs w:val="26"/>
        </w:rPr>
      </w:pPr>
    </w:p>
    <w:p w:rsidR="00C92A01" w:rsidRPr="00E007FA" w:rsidRDefault="00C92A01" w:rsidP="00837B62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007FA">
        <w:rPr>
          <w:rFonts w:ascii="Bell MT" w:hAnsi="Bell MT" w:cs="Times New Roman"/>
          <w:sz w:val="26"/>
          <w:szCs w:val="26"/>
        </w:rPr>
        <w:t>The ministry of Ananias</w:t>
      </w:r>
      <w:r w:rsidR="00E007FA" w:rsidRPr="00E007FA">
        <w:rPr>
          <w:rFonts w:ascii="Bell MT" w:hAnsi="Bell MT" w:cs="Times New Roman"/>
          <w:sz w:val="26"/>
          <w:szCs w:val="26"/>
        </w:rPr>
        <w:t xml:space="preserve"> (12–13)</w:t>
      </w:r>
    </w:p>
    <w:p w:rsidR="00C92A01" w:rsidRPr="00E007FA" w:rsidRDefault="00C92A01" w:rsidP="00C92A01">
      <w:pPr>
        <w:pStyle w:val="ListParagraph"/>
        <w:rPr>
          <w:rFonts w:ascii="Bell MT" w:hAnsi="Bell MT" w:cs="Times New Roman"/>
          <w:sz w:val="26"/>
          <w:szCs w:val="26"/>
        </w:rPr>
      </w:pPr>
    </w:p>
    <w:p w:rsidR="00C92A01" w:rsidRPr="00E007FA" w:rsidRDefault="00C92A01" w:rsidP="00837B62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007FA">
        <w:rPr>
          <w:rFonts w:ascii="Bell MT" w:hAnsi="Bell MT" w:cs="Times New Roman"/>
          <w:sz w:val="26"/>
          <w:szCs w:val="26"/>
        </w:rPr>
        <w:t>Revelation from the “righteous One</w:t>
      </w:r>
      <w:r w:rsidR="00E007FA">
        <w:rPr>
          <w:rFonts w:ascii="Bell MT" w:hAnsi="Bell MT" w:cs="Times New Roman"/>
          <w:sz w:val="26"/>
          <w:szCs w:val="26"/>
        </w:rPr>
        <w:t>” (14–16)</w:t>
      </w:r>
    </w:p>
    <w:p w:rsidR="00C92A01" w:rsidRPr="00E007FA" w:rsidRDefault="00C92A01" w:rsidP="00C92A01">
      <w:pPr>
        <w:pStyle w:val="ListParagraph"/>
        <w:rPr>
          <w:rFonts w:ascii="Bell MT" w:hAnsi="Bell MT" w:cs="Times New Roman"/>
          <w:sz w:val="26"/>
          <w:szCs w:val="26"/>
        </w:rPr>
      </w:pPr>
    </w:p>
    <w:p w:rsidR="00C92A01" w:rsidRPr="00E007FA" w:rsidRDefault="00C92A01" w:rsidP="00837B62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007FA">
        <w:rPr>
          <w:rFonts w:ascii="Bell MT" w:hAnsi="Bell MT" w:cs="Times New Roman"/>
          <w:sz w:val="26"/>
          <w:szCs w:val="26"/>
        </w:rPr>
        <w:t>Revelation in the Temple (that he supposedly defiled)</w:t>
      </w:r>
      <w:r w:rsidR="00E007FA">
        <w:rPr>
          <w:rFonts w:ascii="Bell MT" w:hAnsi="Bell MT" w:cs="Times New Roman"/>
          <w:sz w:val="26"/>
          <w:szCs w:val="26"/>
        </w:rPr>
        <w:t xml:space="preserve"> (17–21)</w:t>
      </w:r>
    </w:p>
    <w:p w:rsidR="00C92A01" w:rsidRPr="00C92A01" w:rsidRDefault="00C92A01" w:rsidP="00C92A01">
      <w:pPr>
        <w:pStyle w:val="ListParagraph"/>
        <w:rPr>
          <w:rFonts w:ascii="Bell MT" w:hAnsi="Bell MT" w:cs="Times New Roman"/>
          <w:b/>
          <w:sz w:val="26"/>
          <w:szCs w:val="26"/>
        </w:rPr>
      </w:pPr>
    </w:p>
    <w:p w:rsidR="00C92A01" w:rsidRDefault="00C92A01" w:rsidP="00C92A01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effect did Paul hope his testimony would have?</w:t>
      </w:r>
    </w:p>
    <w:p w:rsidR="00893E27" w:rsidRDefault="00893E27" w:rsidP="00837B62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93E27">
        <w:rPr>
          <w:rFonts w:ascii="Bell MT" w:hAnsi="Bell MT" w:cs="Times New Roman"/>
          <w:b/>
          <w:sz w:val="26"/>
          <w:szCs w:val="26"/>
        </w:rPr>
        <w:t xml:space="preserve">V.22- </w:t>
      </w:r>
      <w:r>
        <w:rPr>
          <w:rFonts w:ascii="Bell MT" w:hAnsi="Bell MT" w:cs="Times New Roman"/>
          <w:b/>
          <w:sz w:val="26"/>
          <w:szCs w:val="26"/>
        </w:rPr>
        <w:t>What effect did it have</w:t>
      </w:r>
      <w:r w:rsidRPr="00893E27">
        <w:rPr>
          <w:rFonts w:ascii="Bell MT" w:hAnsi="Bell MT" w:cs="Times New Roman"/>
          <w:b/>
          <w:sz w:val="26"/>
          <w:szCs w:val="26"/>
        </w:rPr>
        <w:t xml:space="preserve"> and why</w:t>
      </w:r>
      <w:r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  <w:r w:rsidRPr="00893E27">
        <w:rPr>
          <w:rFonts w:ascii="Bell MT" w:hAnsi="Bell MT" w:cs="Times New Roman"/>
          <w:b/>
          <w:sz w:val="26"/>
          <w:szCs w:val="26"/>
        </w:rPr>
        <w:t xml:space="preserve">? </w:t>
      </w:r>
    </w:p>
    <w:p w:rsidR="00E007FA" w:rsidRPr="00E007FA" w:rsidRDefault="00E007FA" w:rsidP="00837B62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007FA">
        <w:rPr>
          <w:rFonts w:ascii="Bell MT" w:hAnsi="Bell MT" w:cs="Times New Roman"/>
          <w:sz w:val="26"/>
          <w:szCs w:val="26"/>
        </w:rPr>
        <w:t>How is Paul’s defence similar to Jesus’?</w:t>
      </w:r>
    </w:p>
    <w:p w:rsidR="00837B62" w:rsidRPr="00E007FA" w:rsidRDefault="00837B62" w:rsidP="00837B62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color w:val="FF0000"/>
          <w:sz w:val="26"/>
          <w:szCs w:val="26"/>
        </w:rPr>
      </w:pPr>
      <w:r w:rsidRPr="00E007FA">
        <w:rPr>
          <w:rFonts w:ascii="Bell MT" w:hAnsi="Bell MT" w:cs="Times New Roman"/>
          <w:i/>
          <w:sz w:val="26"/>
          <w:szCs w:val="26"/>
        </w:rPr>
        <w:t>In Acts people either accept or reject the message of Jesus.</w:t>
      </w:r>
      <w:r w:rsidRPr="00E007FA">
        <w:rPr>
          <w:rFonts w:ascii="Bell MT" w:hAnsi="Bell MT" w:cs="Times New Roman"/>
          <w:b/>
          <w:sz w:val="26"/>
          <w:szCs w:val="26"/>
        </w:rPr>
        <w:t xml:space="preserve"> </w:t>
      </w:r>
      <w:r w:rsidR="00E007FA" w:rsidRPr="00E007FA">
        <w:rPr>
          <w:rFonts w:ascii="Bell MT" w:hAnsi="Bell MT" w:cs="Times New Roman"/>
          <w:b/>
          <w:sz w:val="26"/>
          <w:szCs w:val="26"/>
        </w:rPr>
        <w:t>What did the unbelieving Jews say? Were they accepting or rejecting their Messiah?</w:t>
      </w:r>
    </w:p>
    <w:p w:rsidR="00667329" w:rsidRPr="00667329" w:rsidRDefault="00667329" w:rsidP="00667329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DC3004" w:rsidRPr="00DC3004" w:rsidRDefault="00E37064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>:</w:t>
      </w:r>
      <w:r w:rsidRPr="00CA32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EBF" w:rsidRPr="00CA329A">
        <w:rPr>
          <w:rFonts w:ascii="Times New Roman" w:hAnsi="Times New Roman" w:cs="Times New Roman"/>
          <w:sz w:val="26"/>
          <w:szCs w:val="26"/>
        </w:rPr>
        <w:t>Oct 1</w:t>
      </w:r>
      <w:r w:rsidR="00DC3004" w:rsidRPr="00CA329A">
        <w:rPr>
          <w:rFonts w:ascii="Times New Roman" w:hAnsi="Times New Roman" w:cs="Times New Roman"/>
          <w:sz w:val="26"/>
          <w:szCs w:val="26"/>
        </w:rPr>
        <w:t>8</w:t>
      </w:r>
      <w:r w:rsidR="00EC460B" w:rsidRPr="00CA329A">
        <w:rPr>
          <w:rFonts w:ascii="Bell MT" w:hAnsi="Bell MT" w:cs="Times New Roman"/>
          <w:sz w:val="26"/>
          <w:szCs w:val="26"/>
        </w:rPr>
        <w:t xml:space="preserve">- </w:t>
      </w:r>
      <w:r w:rsidR="00DC3004" w:rsidRPr="00CA329A">
        <w:rPr>
          <w:rFonts w:ascii="Bell MT" w:hAnsi="Bell MT" w:cs="Times New Roman"/>
          <w:sz w:val="26"/>
          <w:szCs w:val="26"/>
        </w:rPr>
        <w:t>Acts 2</w:t>
      </w:r>
      <w:r w:rsidR="00CA329A" w:rsidRPr="00CA329A">
        <w:rPr>
          <w:rFonts w:ascii="Bell MT" w:hAnsi="Bell MT" w:cs="Times New Roman"/>
          <w:sz w:val="26"/>
          <w:szCs w:val="26"/>
        </w:rPr>
        <w:t>3:23–35, Paul Sent to Felix</w:t>
      </w:r>
    </w:p>
    <w:sectPr w:rsidR="00DC3004" w:rsidRPr="00DC3004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5B" w:rsidRDefault="00F0595B" w:rsidP="00B05860">
      <w:pPr>
        <w:spacing w:after="0" w:line="240" w:lineRule="auto"/>
      </w:pPr>
      <w:r>
        <w:separator/>
      </w:r>
    </w:p>
  </w:endnote>
  <w:endnote w:type="continuationSeparator" w:id="0">
    <w:p w:rsidR="00F0595B" w:rsidRDefault="00F0595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5B" w:rsidRDefault="00F0595B" w:rsidP="00B05860">
      <w:pPr>
        <w:spacing w:after="0" w:line="240" w:lineRule="auto"/>
      </w:pPr>
      <w:r>
        <w:separator/>
      </w:r>
    </w:p>
  </w:footnote>
  <w:footnote w:type="continuationSeparator" w:id="0">
    <w:p w:rsidR="00F0595B" w:rsidRDefault="00F0595B" w:rsidP="00B05860">
      <w:pPr>
        <w:spacing w:after="0" w:line="240" w:lineRule="auto"/>
      </w:pPr>
      <w:r>
        <w:continuationSeparator/>
      </w:r>
    </w:p>
  </w:footnote>
  <w:footnote w:id="1">
    <w:p w:rsidR="00893E27" w:rsidRDefault="00893E27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:rsidR="00893E27" w:rsidRDefault="00893E27">
      <w:pPr>
        <w:pStyle w:val="FootnoteText"/>
      </w:pPr>
    </w:p>
    <w:p w:rsidR="00E007FA" w:rsidRDefault="00E007FA">
      <w:pPr>
        <w:pStyle w:val="FootnoteText"/>
      </w:pPr>
    </w:p>
    <w:p w:rsidR="00E007FA" w:rsidRDefault="00E007FA">
      <w:pPr>
        <w:pStyle w:val="FootnoteText"/>
      </w:pPr>
    </w:p>
    <w:p w:rsidR="00893E27" w:rsidRDefault="00893E2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A77B8"/>
    <w:multiLevelType w:val="hybridMultilevel"/>
    <w:tmpl w:val="DF960DB2"/>
    <w:lvl w:ilvl="0" w:tplc="C80AB1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4C40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6BD0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1FB5"/>
    <w:rsid w:val="00C92852"/>
    <w:rsid w:val="00C92A01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A6EBF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F4A"/>
    <w:rsid w:val="00F80303"/>
    <w:rsid w:val="00F80728"/>
    <w:rsid w:val="00F8145D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rkdalebaptist.org/drippings-from-the-honeycomb/jews-and-true-jew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8CBA-C4D3-44F1-9B22-60195166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9</cp:revision>
  <cp:lastPrinted>2023-10-13T14:31:00Z</cp:lastPrinted>
  <dcterms:created xsi:type="dcterms:W3CDTF">2023-10-11T19:47:00Z</dcterms:created>
  <dcterms:modified xsi:type="dcterms:W3CDTF">2023-10-13T14:31:00Z</dcterms:modified>
</cp:coreProperties>
</file>